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CA6" w:rsidRDefault="00387CA6" w:rsidP="00387CA6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hAnsi="Palatino Linotype"/>
          <w:b/>
          <w:bCs/>
        </w:rPr>
      </w:pPr>
      <w:r w:rsidRPr="0007653D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DATOS PERSONALES DEL ESTADO DE MÉXICO Y MUNICIPIOS, EN LA </w:t>
      </w:r>
      <w:r>
        <w:rPr>
          <w:rFonts w:ascii="Palatino Linotype" w:hAnsi="Palatino Linotype" w:cs="Arial"/>
          <w:b/>
        </w:rPr>
        <w:t xml:space="preserve">TERCERA </w:t>
      </w:r>
      <w:r w:rsidRPr="0007653D">
        <w:rPr>
          <w:rFonts w:ascii="Palatino Linotype" w:hAnsi="Palatino Linotype" w:cs="Arial"/>
          <w:b/>
        </w:rPr>
        <w:t>SESIÓN ORDINARIA DE</w:t>
      </w:r>
      <w:r>
        <w:rPr>
          <w:rFonts w:ascii="Palatino Linotype" w:hAnsi="Palatino Linotype" w:cs="Arial"/>
          <w:b/>
        </w:rPr>
        <w:t>L</w:t>
      </w:r>
      <w:r w:rsidRPr="0007653D">
        <w:rPr>
          <w:rFonts w:ascii="Palatino Linotype" w:hAnsi="Palatino Linotype" w:cs="Arial"/>
          <w:b/>
        </w:rPr>
        <w:t xml:space="preserve"> </w:t>
      </w:r>
      <w:r>
        <w:rPr>
          <w:rFonts w:ascii="Palatino Linotype" w:hAnsi="Palatino Linotype" w:cs="Arial"/>
          <w:b/>
        </w:rPr>
        <w:t>VEINTITRÉS DE ENERO DE DOS MIL DIECINUEVE</w:t>
      </w:r>
      <w:r w:rsidRPr="0007653D">
        <w:rPr>
          <w:rFonts w:ascii="Palatino Linotype" w:hAnsi="Palatino Linotype" w:cs="Arial"/>
          <w:b/>
        </w:rPr>
        <w:t xml:space="preserve">, EN </w:t>
      </w:r>
      <w:r>
        <w:rPr>
          <w:rFonts w:ascii="Palatino Linotype" w:hAnsi="Palatino Linotype" w:cs="Arial"/>
          <w:b/>
        </w:rPr>
        <w:t>LOS R</w:t>
      </w:r>
      <w:r w:rsidRPr="0007653D">
        <w:rPr>
          <w:rFonts w:ascii="Palatino Linotype" w:hAnsi="Palatino Linotype" w:cs="Arial"/>
          <w:b/>
        </w:rPr>
        <w:t>ECURSO</w:t>
      </w:r>
      <w:r>
        <w:rPr>
          <w:rFonts w:ascii="Palatino Linotype" w:hAnsi="Palatino Linotype" w:cs="Arial"/>
          <w:b/>
        </w:rPr>
        <w:t>S</w:t>
      </w:r>
      <w:r w:rsidRPr="0007653D">
        <w:rPr>
          <w:rFonts w:ascii="Palatino Linotype" w:hAnsi="Palatino Linotype" w:cs="Arial"/>
          <w:b/>
        </w:rPr>
        <w:t xml:space="preserve"> DE REVISIÓN</w:t>
      </w:r>
      <w:r>
        <w:rPr>
          <w:rFonts w:ascii="Palatino Linotype" w:hAnsi="Palatino Linotype" w:cs="Arial"/>
          <w:b/>
        </w:rPr>
        <w:t xml:space="preserve"> ACUMULADOS</w:t>
      </w:r>
      <w:r w:rsidRPr="0007653D">
        <w:rPr>
          <w:rFonts w:ascii="Palatino Linotype" w:hAnsi="Palatino Linotype" w:cs="Arial"/>
          <w:b/>
        </w:rPr>
        <w:t xml:space="preserve"> </w:t>
      </w:r>
      <w:r w:rsidRPr="0031494A">
        <w:rPr>
          <w:rFonts w:ascii="Palatino Linotype" w:hAnsi="Palatino Linotype"/>
          <w:b/>
          <w:bCs/>
        </w:rPr>
        <w:t xml:space="preserve">04238/INFOEM/IP/RR/2018, 04239/INFOEM/IP/RR/2018, 04240/INFOEM/IP/RR/2018, 04241/INFOEM/IP/RR/2018, 04242/INFOEM/IP/RR/2018, 04243/INFOEM/IP/RR/2018, 04244/INFOEM/IP/RR/2018, 04245/INFOEM/IP/RR/2018, 04246/INFOEM/IP/RR/2018, 04247/INFOEM/IP/RR/2018, 04248/INFOEM/IP/RR/2018 </w:t>
      </w:r>
      <w:r w:rsidR="00275C48" w:rsidRPr="0031494A">
        <w:rPr>
          <w:rFonts w:ascii="Palatino Linotype" w:hAnsi="Palatino Linotype"/>
          <w:b/>
          <w:bCs/>
        </w:rPr>
        <w:t>Y</w:t>
      </w:r>
      <w:r w:rsidRPr="0031494A">
        <w:rPr>
          <w:rFonts w:ascii="Palatino Linotype" w:hAnsi="Palatino Linotype"/>
          <w:b/>
          <w:bCs/>
        </w:rPr>
        <w:t xml:space="preserve"> 04249/INFOEM/IP/RR/2018</w:t>
      </w:r>
      <w:r>
        <w:rPr>
          <w:rFonts w:ascii="Palatino Linotype" w:hAnsi="Palatino Linotype"/>
          <w:b/>
          <w:bCs/>
        </w:rPr>
        <w:t>.</w:t>
      </w:r>
    </w:p>
    <w:p w:rsidR="00387CA6" w:rsidRDefault="00387CA6" w:rsidP="00387CA6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</w:t>
      </w:r>
      <w:r w:rsidRPr="00E42755">
        <w:rPr>
          <w:rFonts w:ascii="Palatino Linotype" w:hAnsi="Palatino Linotype" w:cs="Arial"/>
        </w:rPr>
        <w:t xml:space="preserve">,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respect</w:t>
      </w:r>
      <w:r>
        <w:rPr>
          <w:rFonts w:ascii="Palatino Linotype" w:hAnsi="Palatino Linotype" w:cs="Arial"/>
        </w:rPr>
        <w:t>o de la resolución dictada en los</w:t>
      </w:r>
      <w:r w:rsidRPr="00E42755">
        <w:rPr>
          <w:rFonts w:ascii="Palatino Linotype" w:hAnsi="Palatino Linotype" w:cs="Arial"/>
        </w:rPr>
        <w:t xml:space="preserve"> recurso</w:t>
      </w:r>
      <w:r>
        <w:rPr>
          <w:rFonts w:ascii="Palatino Linotype" w:hAnsi="Palatino Linotype" w:cs="Arial"/>
        </w:rPr>
        <w:t>s</w:t>
      </w:r>
      <w:r w:rsidRPr="00E42755">
        <w:rPr>
          <w:rFonts w:ascii="Palatino Linotype" w:hAnsi="Palatino Linotype" w:cs="Arial"/>
        </w:rPr>
        <w:t xml:space="preserve"> de revisión</w:t>
      </w:r>
      <w:r>
        <w:rPr>
          <w:rFonts w:ascii="Palatino Linotype" w:hAnsi="Palatino Linotype" w:cs="Arial"/>
        </w:rPr>
        <w:t xml:space="preserve"> acumulados señalados en el párrafo que antecede y </w:t>
      </w:r>
      <w:r w:rsidRPr="00E42755">
        <w:rPr>
          <w:rFonts w:ascii="Palatino Linotype" w:hAnsi="Palatino Linotype" w:cs="Arial"/>
        </w:rPr>
        <w:t xml:space="preserve">pronunciada por el Pleno de este Instituto ante el proyecto presentado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Comisionad</w:t>
      </w:r>
      <w:r>
        <w:rPr>
          <w:rFonts w:ascii="Palatino Linotype" w:hAnsi="Palatino Linotype" w:cs="Arial"/>
        </w:rPr>
        <w:t xml:space="preserve">o </w:t>
      </w:r>
      <w:r>
        <w:rPr>
          <w:rFonts w:ascii="Palatino Linotype" w:hAnsi="Palatino Linotype" w:cs="Arial"/>
          <w:b/>
        </w:rPr>
        <w:t>JOSÉ GUADALUPE LUNA HERNÁNDEZ</w:t>
      </w:r>
      <w:r w:rsidRPr="0007653D">
        <w:rPr>
          <w:rFonts w:ascii="Palatino Linotype" w:hAnsi="Palatino Linotype" w:cs="Arial"/>
        </w:rPr>
        <w:t xml:space="preserve">, </w:t>
      </w:r>
      <w:r w:rsidRPr="00E42755">
        <w:rPr>
          <w:rFonts w:ascii="Palatino Linotype" w:hAnsi="Palatino Linotype" w:cs="Arial"/>
        </w:rPr>
        <w:t>que es del tenor siguiente</w:t>
      </w:r>
      <w:r>
        <w:rPr>
          <w:rFonts w:ascii="Palatino Linotype" w:hAnsi="Palatino Linotype" w:cs="Arial"/>
        </w:rPr>
        <w:t>.</w:t>
      </w:r>
    </w:p>
    <w:p w:rsidR="00387CA6" w:rsidRDefault="00387CA6" w:rsidP="00387CA6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</w:t>
      </w:r>
      <w:r w:rsidRPr="00A34024">
        <w:rPr>
          <w:rFonts w:ascii="Palatino Linotype" w:hAnsi="Palatino Linotype"/>
        </w:rPr>
        <w:t xml:space="preserve">comparte </w:t>
      </w:r>
      <w:r>
        <w:rPr>
          <w:rFonts w:ascii="Palatino Linotype" w:hAnsi="Palatino Linotype"/>
        </w:rPr>
        <w:t>las razones que motivaron la emisión de los recursos de revisión en comento; empero, considero necesario realizar</w:t>
      </w:r>
      <w:r w:rsidRPr="00A34024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algunas precis</w:t>
      </w:r>
      <w:r w:rsidRPr="00D93A88">
        <w:rPr>
          <w:rFonts w:ascii="Palatino Linotype" w:hAnsi="Palatino Linotype"/>
        </w:rPr>
        <w:t>iones de hecho y de derecho</w:t>
      </w:r>
      <w:r>
        <w:rPr>
          <w:rFonts w:ascii="Palatino Linotype" w:hAnsi="Palatino Linotype"/>
        </w:rPr>
        <w:t>, tocante al sentido de la resolución correspondiente</w:t>
      </w:r>
      <w:r w:rsidRPr="00D93A88">
        <w:rPr>
          <w:rFonts w:ascii="Palatino Linotype" w:hAnsi="Palatino Linotype"/>
        </w:rPr>
        <w:t>.</w:t>
      </w:r>
    </w:p>
    <w:p w:rsidR="00387CA6" w:rsidRDefault="00387CA6" w:rsidP="00387CA6">
      <w:pPr>
        <w:pStyle w:val="Prrafodelista"/>
        <w:spacing w:line="360" w:lineRule="auto"/>
        <w:ind w:left="0"/>
        <w:jc w:val="both"/>
        <w:rPr>
          <w:rFonts w:ascii="Palatino Linotype" w:eastAsia="Calibri" w:hAnsi="Palatino Linotype" w:cs="Arial"/>
        </w:rPr>
      </w:pPr>
      <w:r>
        <w:rPr>
          <w:rFonts w:ascii="Palatino Linotype" w:hAnsi="Palatino Linotype"/>
        </w:rPr>
        <w:lastRenderedPageBreak/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 w:rsidR="00387CBF">
        <w:rPr>
          <w:rFonts w:ascii="Palatino Linotype" w:hAnsi="Palatino Linotype"/>
        </w:rPr>
        <w:t xml:space="preserve">la </w:t>
      </w:r>
      <w:r w:rsidRPr="00D93A88">
        <w:rPr>
          <w:rFonts w:ascii="Palatino Linotype" w:hAnsi="Palatino Linotype"/>
        </w:rPr>
        <w:t xml:space="preserve">particular </w:t>
      </w:r>
      <w:r>
        <w:rPr>
          <w:rFonts w:ascii="Palatino Linotype" w:hAnsi="Palatino Linotype"/>
        </w:rPr>
        <w:t>requirió de</w:t>
      </w:r>
      <w:r w:rsidR="00387CBF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l</w:t>
      </w:r>
      <w:r w:rsidR="00387CBF">
        <w:rPr>
          <w:rFonts w:ascii="Palatino Linotype" w:hAnsi="Palatino Linotype"/>
        </w:rPr>
        <w:t xml:space="preserve">a </w:t>
      </w:r>
      <w:r w:rsidR="00387CBF" w:rsidRPr="00EC6BA8">
        <w:rPr>
          <w:rFonts w:ascii="Palatino Linotype" w:hAnsi="Palatino Linotype" w:cs="Arial"/>
          <w:b/>
        </w:rPr>
        <w:t>Universidad Politécnica del Valle de Toluca</w:t>
      </w:r>
      <w:r w:rsidR="00387CBF">
        <w:rPr>
          <w:rFonts w:ascii="Palatino Linotype" w:hAnsi="Palatino Linotype" w:cs="Arial"/>
          <w:b/>
        </w:rPr>
        <w:t xml:space="preserve">, </w:t>
      </w:r>
      <w:r w:rsidR="00387CBF">
        <w:rPr>
          <w:rFonts w:ascii="Palatino Linotype" w:hAnsi="Palatino Linotype" w:cs="Arial"/>
        </w:rPr>
        <w:t xml:space="preserve">en lo sucesivo </w:t>
      </w:r>
      <w:r w:rsidR="00387CBF">
        <w:rPr>
          <w:rFonts w:ascii="Palatino Linotype" w:hAnsi="Palatino Linotype"/>
          <w:b/>
        </w:rPr>
        <w:t>EL S</w:t>
      </w:r>
      <w:r w:rsidRPr="008C0700">
        <w:rPr>
          <w:rFonts w:ascii="Palatino Linotype" w:hAnsi="Palatino Linotype"/>
          <w:b/>
        </w:rPr>
        <w:t>UJETO OBLIGADO</w:t>
      </w:r>
      <w:r>
        <w:rPr>
          <w:rFonts w:ascii="Palatino Linotype" w:hAnsi="Palatino Linotype"/>
          <w:b/>
        </w:rPr>
        <w:t xml:space="preserve"> </w:t>
      </w:r>
      <w:r w:rsidR="00387CBF">
        <w:rPr>
          <w:rFonts w:ascii="Palatino Linotype" w:eastAsia="Calibri" w:hAnsi="Palatino Linotype" w:cs="Arial"/>
        </w:rPr>
        <w:t xml:space="preserve">el listado de empresas con quienes se suscribieron convenios de colaboración de los años 2007 al 2018, señalando el representante de la empresa que firma y mencionar el fin </w:t>
      </w:r>
      <w:r w:rsidR="00275C48">
        <w:rPr>
          <w:rFonts w:ascii="Palatino Linotype" w:eastAsia="Calibri" w:hAnsi="Palatino Linotype" w:cs="Arial"/>
        </w:rPr>
        <w:t>del convenio</w:t>
      </w:r>
      <w:r w:rsidR="00387CBF">
        <w:rPr>
          <w:rFonts w:ascii="Palatino Linotype" w:eastAsia="Calibri" w:hAnsi="Palatino Linotype" w:cs="Arial"/>
        </w:rPr>
        <w:t>, así como, señalar el beneficio que ha tenido dicha Universidad.</w:t>
      </w:r>
    </w:p>
    <w:p w:rsidR="00387CBF" w:rsidRDefault="00387CA6" w:rsidP="00387CA6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De las constancias que obran en el </w:t>
      </w:r>
      <w:r w:rsidRPr="00702C61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</w:rPr>
        <w:t xml:space="preserve">, se advierte que </w:t>
      </w:r>
      <w:r w:rsidRPr="00B57FE6">
        <w:rPr>
          <w:rFonts w:ascii="Palatino Linotype" w:hAnsi="Palatino Linotype" w:cs="Arial"/>
          <w:b/>
        </w:rPr>
        <w:t>EL SUJETO OBLIGADO</w:t>
      </w:r>
      <w:r>
        <w:rPr>
          <w:rFonts w:ascii="Palatino Linotype" w:hAnsi="Palatino Linotype" w:cs="Arial"/>
        </w:rPr>
        <w:t xml:space="preserve"> manifestó en su respuesta que</w:t>
      </w:r>
      <w:r w:rsidR="00387CBF">
        <w:rPr>
          <w:rFonts w:ascii="Palatino Linotype" w:hAnsi="Palatino Linotype" w:cs="Arial"/>
        </w:rPr>
        <w:t xml:space="preserve"> la información solicitada podía ser consultada en la fracción </w:t>
      </w:r>
      <w:r w:rsidR="0018401F">
        <w:rPr>
          <w:rFonts w:ascii="Palatino Linotype" w:hAnsi="Palatino Linotype" w:cs="Arial"/>
          <w:lang w:eastAsia="es-MX"/>
        </w:rPr>
        <w:t xml:space="preserve">XXXVII </w:t>
      </w:r>
      <w:r w:rsidR="00387CBF">
        <w:rPr>
          <w:rFonts w:ascii="Palatino Linotype" w:hAnsi="Palatino Linotype" w:cs="Arial"/>
        </w:rPr>
        <w:t>denominada Convenios de Coordinación de concertación con el sector social o privado de la página de Información Pública de Oficio Mexiquense (IPOMEX).</w:t>
      </w:r>
    </w:p>
    <w:p w:rsidR="00387CA6" w:rsidRDefault="00387CA6" w:rsidP="00387CA6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/>
          <w:color w:val="000000"/>
          <w:lang w:eastAsia="es-MX"/>
        </w:rPr>
        <w:t xml:space="preserve">Inconforme con la respuesta </w:t>
      </w:r>
      <w:r w:rsidR="00387CBF">
        <w:rPr>
          <w:rFonts w:ascii="Palatino Linotype" w:hAnsi="Palatino Linotype"/>
          <w:b/>
          <w:color w:val="000000"/>
          <w:lang w:eastAsia="es-MX"/>
        </w:rPr>
        <w:t>LA</w:t>
      </w:r>
      <w:r w:rsidRPr="00833697">
        <w:rPr>
          <w:rFonts w:ascii="Palatino Linotype" w:hAnsi="Palatino Linotype"/>
          <w:b/>
          <w:color w:val="000000"/>
          <w:lang w:eastAsia="es-MX"/>
        </w:rPr>
        <w:t xml:space="preserve"> RECURRENTE</w:t>
      </w:r>
      <w:r>
        <w:rPr>
          <w:rFonts w:ascii="Palatino Linotype" w:hAnsi="Palatino Linotype"/>
          <w:color w:val="000000"/>
          <w:lang w:eastAsia="es-MX"/>
        </w:rPr>
        <w:t xml:space="preserve"> </w:t>
      </w:r>
      <w:r>
        <w:rPr>
          <w:rFonts w:ascii="Palatino Linotype" w:hAnsi="Palatino Linotype" w:cs="Arial"/>
        </w:rPr>
        <w:t>interpuso el</w:t>
      </w:r>
      <w:r w:rsidR="00387CBF">
        <w:rPr>
          <w:rFonts w:ascii="Palatino Linotype" w:hAnsi="Palatino Linotype" w:cs="Arial"/>
        </w:rPr>
        <w:t xml:space="preserve"> recurso de revisión de mérito, refiriendo que había solicitado un listado no los convenios en su totalidad.</w:t>
      </w:r>
    </w:p>
    <w:p w:rsidR="00387CBF" w:rsidRPr="00AC12D0" w:rsidRDefault="00387CBF" w:rsidP="00387CBF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Bajo ese tenor, </w:t>
      </w:r>
      <w:r>
        <w:rPr>
          <w:rFonts w:ascii="Palatino Linotype" w:hAnsi="Palatino Linotype" w:cs="Arial"/>
          <w:b/>
        </w:rPr>
        <w:t xml:space="preserve">EL SUJETO OBLIGADO </w:t>
      </w:r>
      <w:r>
        <w:rPr>
          <w:rFonts w:ascii="Palatino Linotype" w:hAnsi="Palatino Linotype" w:cs="Arial"/>
        </w:rPr>
        <w:t>mediante Informe Justificado ratificó esencialmente su respuesta.</w:t>
      </w:r>
    </w:p>
    <w:p w:rsidR="00387CBF" w:rsidRDefault="00387CA6" w:rsidP="00387CA6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Así, del estudio al expediente electrónico, la Ponencia Resolutora determinó </w:t>
      </w:r>
      <w:r w:rsidR="00387CBF">
        <w:rPr>
          <w:rFonts w:ascii="Palatino Linotype" w:hAnsi="Palatino Linotype" w:cs="Arial"/>
          <w:b/>
        </w:rPr>
        <w:t>REVOC</w:t>
      </w:r>
      <w:r>
        <w:rPr>
          <w:rFonts w:ascii="Palatino Linotype" w:hAnsi="Palatino Linotype" w:cs="Arial"/>
          <w:b/>
        </w:rPr>
        <w:t>AR</w:t>
      </w:r>
      <w:r w:rsidRPr="0094704E">
        <w:rPr>
          <w:rFonts w:ascii="Palatino Linotype" w:hAnsi="Palatino Linotype" w:cs="Arial"/>
          <w:b/>
        </w:rPr>
        <w:t xml:space="preserve"> </w:t>
      </w:r>
      <w:r>
        <w:rPr>
          <w:rFonts w:ascii="Palatino Linotype" w:hAnsi="Palatino Linotype" w:cs="Arial"/>
        </w:rPr>
        <w:t xml:space="preserve">la respuesta del </w:t>
      </w:r>
      <w:r>
        <w:rPr>
          <w:rFonts w:ascii="Palatino Linotype" w:hAnsi="Palatino Linotype" w:cs="Arial"/>
          <w:b/>
        </w:rPr>
        <w:t>SUJETO OBLIGADO</w:t>
      </w:r>
      <w:r w:rsidR="00387CBF">
        <w:rPr>
          <w:rFonts w:ascii="Palatino Linotype" w:hAnsi="Palatino Linotype" w:cs="Arial"/>
        </w:rPr>
        <w:t xml:space="preserve"> ordenándole haga entrega vía SAIMEX de ser el caso en versión pública de la siguiente información:</w:t>
      </w:r>
    </w:p>
    <w:p w:rsidR="00387CBF" w:rsidRPr="0018401F" w:rsidRDefault="00387CBF" w:rsidP="0018401F">
      <w:pPr>
        <w:pStyle w:val="Prrafodelista"/>
        <w:numPr>
          <w:ilvl w:val="0"/>
          <w:numId w:val="4"/>
        </w:numPr>
        <w:ind w:left="851" w:right="899" w:hanging="11"/>
        <w:contextualSpacing w:val="0"/>
        <w:jc w:val="both"/>
        <w:rPr>
          <w:rFonts w:ascii="Palatino Linotype" w:hAnsi="Palatino Linotype" w:cs="Arial"/>
          <w:i/>
          <w:sz w:val="22"/>
          <w:szCs w:val="22"/>
        </w:rPr>
      </w:pPr>
      <w:r w:rsidRPr="0018401F">
        <w:rPr>
          <w:rFonts w:ascii="Palatino Linotype" w:hAnsi="Palatino Linotype" w:cs="Arial"/>
          <w:i/>
          <w:sz w:val="22"/>
          <w:szCs w:val="22"/>
          <w:lang w:eastAsia="es-MX"/>
        </w:rPr>
        <w:t>Documentos donde conste la información relativa a los convenios de colaboración con empresas que ha signado la Universidad Politécnica del Valle de Toluca, señalando el representante de la empresa, su finalidad y sus beneficios, correspondiente al periodo que comprenden los años 2007 al 2018.</w:t>
      </w:r>
    </w:p>
    <w:p w:rsidR="00387CBF" w:rsidRPr="0018401F" w:rsidRDefault="00387CBF" w:rsidP="0018401F">
      <w:pPr>
        <w:ind w:left="851" w:right="899"/>
        <w:jc w:val="both"/>
        <w:rPr>
          <w:rFonts w:ascii="Palatino Linotype" w:eastAsia="MS Mincho" w:hAnsi="Palatino Linotype" w:cs="Calibri"/>
          <w:i/>
          <w:sz w:val="22"/>
          <w:szCs w:val="22"/>
          <w:lang w:eastAsia="es-MX"/>
        </w:rPr>
      </w:pPr>
      <w:r w:rsidRPr="0018401F">
        <w:rPr>
          <w:rFonts w:ascii="Palatino Linotype" w:eastAsia="MS Mincho" w:hAnsi="Palatino Linotype" w:cs="Calibri"/>
          <w:i/>
          <w:sz w:val="22"/>
          <w:szCs w:val="22"/>
          <w:lang w:eastAsia="es-MX"/>
        </w:rPr>
        <w:lastRenderedPageBreak/>
        <w:t>Para efectos de lo anterior se deberá emitir el Acuerdo del Comité de Transparencia en términos de los artículos 49 fracción VIII y 132 fracción II de la Ley de Transparencia y Acceso a la Información Pública del Estado de México y Municipios, en el que funde y motive las razones sobre los datos que se supriman o eliminen dentro del soporte documental respectivo objeto de las versiones públicas que se formulen y se ponga a disposición de</w:t>
      </w:r>
      <w:r w:rsidR="0018401F" w:rsidRPr="0018401F">
        <w:rPr>
          <w:rFonts w:ascii="Palatino Linotype" w:eastAsia="MS Mincho" w:hAnsi="Palatino Linotype" w:cs="Calibri"/>
          <w:i/>
          <w:sz w:val="22"/>
          <w:szCs w:val="22"/>
          <w:lang w:eastAsia="es-MX"/>
        </w:rPr>
        <w:t xml:space="preserve"> la solicitante.</w:t>
      </w:r>
    </w:p>
    <w:p w:rsidR="00387CA6" w:rsidRDefault="00387CA6" w:rsidP="00387CA6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primer término, es necesario precisar que de conformidad con el artículo 186 de la </w:t>
      </w:r>
      <w:r w:rsidRPr="00B918F9">
        <w:rPr>
          <w:rFonts w:ascii="Palatino Linotype" w:hAnsi="Palatino Linotype" w:cs="Arial"/>
        </w:rPr>
        <w:t>Ley de Transparencia y Acceso a la Información Pública del Estado de México y Municipios</w:t>
      </w:r>
      <w:r>
        <w:rPr>
          <w:rFonts w:ascii="Palatino Linotype" w:hAnsi="Palatino Linotype" w:cs="Arial"/>
        </w:rPr>
        <w:t>,</w:t>
      </w:r>
      <w:r>
        <w:rPr>
          <w:rFonts w:ascii="Palatino Linotype" w:hAnsi="Palatino Linotype"/>
        </w:rPr>
        <w:t xml:space="preserve"> las Resoluciones emitidas por este Órgano Garante podrán:</w:t>
      </w:r>
    </w:p>
    <w:p w:rsidR="00387CA6" w:rsidRPr="00274EF7" w:rsidRDefault="00387CA6" w:rsidP="00387CA6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274EF7">
        <w:rPr>
          <w:rFonts w:ascii="Palatino Linotype" w:hAnsi="Palatino Linotype"/>
        </w:rPr>
        <w:t xml:space="preserve">Desechar o sobreseer el recurso; </w:t>
      </w:r>
    </w:p>
    <w:p w:rsidR="00387CA6" w:rsidRPr="0018401F" w:rsidRDefault="00387CA6" w:rsidP="00387CA6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18401F">
        <w:rPr>
          <w:rFonts w:ascii="Palatino Linotype" w:hAnsi="Palatino Linotype"/>
        </w:rPr>
        <w:t xml:space="preserve">Confirmar la respuesta del sujeto obligado; </w:t>
      </w:r>
    </w:p>
    <w:p w:rsidR="00387CA6" w:rsidRPr="00274EF7" w:rsidRDefault="00387CA6" w:rsidP="00387CA6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5E28CF">
        <w:rPr>
          <w:rFonts w:ascii="Palatino Linotype" w:hAnsi="Palatino Linotype"/>
          <w:b/>
        </w:rPr>
        <w:t>Revocar o modificar la respuesta del sujeto obligado</w:t>
      </w:r>
      <w:r w:rsidRPr="005E28CF">
        <w:rPr>
          <w:rFonts w:ascii="Palatino Linotype" w:hAnsi="Palatino Linotype"/>
        </w:rPr>
        <w:t>;</w:t>
      </w:r>
      <w:r w:rsidRPr="00274EF7">
        <w:rPr>
          <w:rFonts w:ascii="Palatino Linotype" w:hAnsi="Palatino Linotype"/>
        </w:rPr>
        <w:t xml:space="preserve"> y </w:t>
      </w:r>
    </w:p>
    <w:p w:rsidR="00387CA6" w:rsidRDefault="00387CA6" w:rsidP="00387CA6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274EF7">
        <w:rPr>
          <w:rFonts w:ascii="Palatino Linotype" w:hAnsi="Palatino Linotype"/>
        </w:rPr>
        <w:t>Ordenar la entrega de la información.</w:t>
      </w:r>
    </w:p>
    <w:p w:rsidR="0018401F" w:rsidRPr="0018401F" w:rsidRDefault="0018401F" w:rsidP="0018401F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18401F">
        <w:rPr>
          <w:rFonts w:ascii="Palatino Linotype" w:hAnsi="Palatino Linotype"/>
        </w:rPr>
        <w:t xml:space="preserve">En el caso particular de la fracción III y en relación a dichos sentidos, se procede a </w:t>
      </w:r>
      <w:r w:rsidRPr="0018401F">
        <w:rPr>
          <w:rFonts w:ascii="Palatino Linotype" w:hAnsi="Palatino Linotype"/>
          <w:b/>
        </w:rPr>
        <w:t>REVOCAR</w:t>
      </w:r>
      <w:r w:rsidRPr="0018401F">
        <w:rPr>
          <w:rFonts w:ascii="Palatino Linotype" w:hAnsi="Palatino Linotype"/>
        </w:rPr>
        <w:t xml:space="preserve"> la respuesta de los Sujetos Obligados, cuando ésta no satisfaga en su </w:t>
      </w:r>
      <w:r w:rsidRPr="0018401F">
        <w:rPr>
          <w:rFonts w:ascii="Palatino Linotype" w:hAnsi="Palatino Linotype"/>
          <w:b/>
        </w:rPr>
        <w:t>totalidad</w:t>
      </w:r>
      <w:r w:rsidRPr="0018401F">
        <w:rPr>
          <w:rFonts w:ascii="Palatino Linotype" w:hAnsi="Palatino Linotype"/>
        </w:rPr>
        <w:t xml:space="preserve"> la información requerida por los particulares; mientras que se procede a </w:t>
      </w:r>
      <w:r w:rsidRPr="0018401F">
        <w:rPr>
          <w:rFonts w:ascii="Palatino Linotype" w:hAnsi="Palatino Linotype"/>
          <w:b/>
        </w:rPr>
        <w:t xml:space="preserve">MODIFICAR </w:t>
      </w:r>
      <w:r w:rsidRPr="0018401F">
        <w:rPr>
          <w:rFonts w:ascii="Palatino Linotype" w:hAnsi="Palatino Linotype"/>
        </w:rPr>
        <w:t xml:space="preserve">la misma, en aquellos casos en que se colme </w:t>
      </w:r>
      <w:r w:rsidRPr="0018401F">
        <w:rPr>
          <w:rFonts w:ascii="Palatino Linotype" w:hAnsi="Palatino Linotype"/>
          <w:b/>
        </w:rPr>
        <w:t>parcialmente</w:t>
      </w:r>
      <w:r w:rsidRPr="0018401F">
        <w:rPr>
          <w:rFonts w:ascii="Palatino Linotype" w:hAnsi="Palatino Linotype"/>
        </w:rPr>
        <w:t xml:space="preserve"> la solicitud de información, por mínima que pudiera resultar ésta.</w:t>
      </w:r>
    </w:p>
    <w:p w:rsidR="00E04011" w:rsidRDefault="00387CA6" w:rsidP="00387CA6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Así en el presente caso, </w:t>
      </w:r>
      <w:r w:rsidRPr="00630280">
        <w:rPr>
          <w:rFonts w:ascii="Palatino Linotype" w:hAnsi="Palatino Linotype"/>
          <w:b/>
        </w:rPr>
        <w:t>EL SUJETO OBLIGADO</w:t>
      </w:r>
      <w:r>
        <w:rPr>
          <w:rFonts w:ascii="Palatino Linotype" w:hAnsi="Palatino Linotype"/>
          <w:b/>
        </w:rPr>
        <w:t>,</w:t>
      </w:r>
      <w:r>
        <w:rPr>
          <w:rFonts w:ascii="Palatino Linotype" w:hAnsi="Palatino Linotype"/>
        </w:rPr>
        <w:t xml:space="preserve"> en respuesta a la solicitud de información pública </w:t>
      </w:r>
      <w:r w:rsidR="0018401F">
        <w:rPr>
          <w:rFonts w:ascii="Palatino Linotype" w:hAnsi="Palatino Linotype"/>
        </w:rPr>
        <w:t xml:space="preserve">señaló el link electrónico y </w:t>
      </w:r>
      <w:r w:rsidR="00275C48">
        <w:rPr>
          <w:rFonts w:ascii="Palatino Linotype" w:hAnsi="Palatino Linotype"/>
        </w:rPr>
        <w:t xml:space="preserve">la fracción en específico en </w:t>
      </w:r>
      <w:r w:rsidR="0018401F">
        <w:rPr>
          <w:rFonts w:ascii="Palatino Linotype" w:hAnsi="Palatino Linotype"/>
        </w:rPr>
        <w:t>la que encontraría los convenios solicitados</w:t>
      </w:r>
      <w:r w:rsidR="00E04011">
        <w:rPr>
          <w:rFonts w:ascii="Palatino Linotype" w:hAnsi="Palatino Linotype"/>
        </w:rPr>
        <w:t>; por lo que, la Ponencia Resolutora obtuvo de la inspección a dicho portal lo siguiente:</w:t>
      </w:r>
    </w:p>
    <w:p w:rsidR="00E04011" w:rsidRDefault="00E04011" w:rsidP="00E04011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noProof/>
          <w:lang w:eastAsia="es-MX"/>
        </w:rPr>
        <w:lastRenderedPageBreak/>
        <w:drawing>
          <wp:inline distT="0" distB="0" distL="0" distR="0" wp14:anchorId="278AA7BF" wp14:editId="0D521C83">
            <wp:extent cx="5514975" cy="37528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343" t="9006" r="28717" b="43704"/>
                    <a:stretch/>
                  </pic:blipFill>
                  <pic:spPr bwMode="auto">
                    <a:xfrm>
                      <a:off x="0" y="0"/>
                      <a:ext cx="5531267" cy="376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11" w:rsidRDefault="00E04011" w:rsidP="00E04011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ese tenor, se pudo advertir que se encuentran los convenios celebrados por </w:t>
      </w:r>
      <w:r>
        <w:rPr>
          <w:rFonts w:ascii="Palatino Linotype" w:hAnsi="Palatino Linotype"/>
          <w:b/>
        </w:rPr>
        <w:t xml:space="preserve">EL SUJETO OBLIGADO </w:t>
      </w:r>
      <w:r>
        <w:rPr>
          <w:rFonts w:ascii="Palatino Linotype" w:hAnsi="Palatino Linotype"/>
        </w:rPr>
        <w:t xml:space="preserve">durante los años 2011 a 2017, </w:t>
      </w:r>
      <w:r w:rsidR="00275C48">
        <w:rPr>
          <w:rFonts w:ascii="Palatino Linotype" w:hAnsi="Palatino Linotype"/>
        </w:rPr>
        <w:t xml:space="preserve"> por lo que, </w:t>
      </w:r>
      <w:r>
        <w:rPr>
          <w:rFonts w:ascii="Palatino Linotype" w:hAnsi="Palatino Linotype"/>
        </w:rPr>
        <w:t>de conformidad con el artículo 12 de la Ley de Transparencia y Acceso a la Información Pública del Estado de México y Municipios</w:t>
      </w:r>
      <w:r>
        <w:rPr>
          <w:rStyle w:val="Refdenotaalpie"/>
          <w:rFonts w:ascii="Palatino Linotype" w:hAnsi="Palatino Linotype"/>
        </w:rPr>
        <w:footnoteReference w:id="1"/>
      </w:r>
      <w:r>
        <w:rPr>
          <w:rFonts w:ascii="Palatino Linotype" w:hAnsi="Palatino Linotype"/>
        </w:rPr>
        <w:t>, señala que es obligación de los Sujetos Obligados el proporcionar la información que se les requiera y obre en sus archivos; sin embargo, ello no comprende presentarla conforme al interés de los solicitantes</w:t>
      </w:r>
      <w:r w:rsidR="00645C66">
        <w:rPr>
          <w:rFonts w:ascii="Palatino Linotype" w:hAnsi="Palatino Linotype"/>
        </w:rPr>
        <w:t>.</w:t>
      </w:r>
    </w:p>
    <w:p w:rsidR="00275C48" w:rsidRDefault="00387CA6" w:rsidP="00275C48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/>
        </w:rPr>
        <w:lastRenderedPageBreak/>
        <w:t xml:space="preserve">Así, </w:t>
      </w:r>
      <w:r w:rsidR="00645C66">
        <w:rPr>
          <w:rFonts w:ascii="Palatino Linotype" w:hAnsi="Palatino Linotype"/>
        </w:rPr>
        <w:t xml:space="preserve">a criterio de la suscrita lo procedente </w:t>
      </w:r>
      <w:r w:rsidR="00275C48">
        <w:rPr>
          <w:rFonts w:ascii="Palatino Linotype" w:hAnsi="Palatino Linotype"/>
        </w:rPr>
        <w:t xml:space="preserve">era que, la Ponencia Resolutora </w:t>
      </w:r>
      <w:r w:rsidR="00645C66">
        <w:rPr>
          <w:rFonts w:ascii="Palatino Linotype" w:hAnsi="Palatino Linotype"/>
        </w:rPr>
        <w:t xml:space="preserve">analizara la liga electrónica proporcionada y verificara </w:t>
      </w:r>
      <w:r w:rsidR="00275C48">
        <w:rPr>
          <w:rFonts w:ascii="Palatino Linotype" w:hAnsi="Palatino Linotype"/>
        </w:rPr>
        <w:t xml:space="preserve">si la información contenida colmaba el derecho de acceso a la información pública accionado por la particular, a fin de aplicar un criterio congruente y exhaustivo al respecto, sirviendo de sustento a esto, </w:t>
      </w:r>
      <w:r w:rsidR="00275C48">
        <w:rPr>
          <w:rFonts w:ascii="Palatino Linotype" w:hAnsi="Palatino Linotype" w:cs="Segoe UI"/>
        </w:rPr>
        <w:t xml:space="preserve">el criterio orientador </w:t>
      </w:r>
      <w:r w:rsidR="00275C48">
        <w:rPr>
          <w:rFonts w:ascii="Palatino Linotype" w:hAnsi="Palatino Linotype"/>
          <w:lang w:eastAsia="es-MX"/>
        </w:rPr>
        <w:t xml:space="preserve">002/2017 del Instituto Nacional de Acceso a la Información y Protección de Datos (INAI), </w:t>
      </w:r>
      <w:r w:rsidR="00275C48">
        <w:rPr>
          <w:rFonts w:ascii="Palatino Linotype" w:hAnsi="Palatino Linotype" w:cs="Arial"/>
        </w:rPr>
        <w:t>cuyo tenor es el siguiente:</w:t>
      </w:r>
    </w:p>
    <w:p w:rsidR="00275C48" w:rsidRPr="00D621C2" w:rsidRDefault="00275C48" w:rsidP="00275C48">
      <w:pPr>
        <w:ind w:left="851" w:right="902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/>
          <w:bCs/>
          <w:i/>
          <w:sz w:val="22"/>
        </w:rPr>
        <w:t>“Congruencia y exhaustividad.</w:t>
      </w:r>
      <w:r w:rsidRPr="006807DD">
        <w:rPr>
          <w:rFonts w:ascii="Palatino Linotype" w:hAnsi="Palatino Linotype" w:cs="Arial"/>
          <w:bCs/>
          <w:i/>
          <w:sz w:val="22"/>
        </w:rPr>
        <w:t xml:space="preserve"> Sus alcances para garantizar el derecho de acceso a la información. De conformidad con el artículo 3 de la Ley Federal de Procedimiento Administrativo, de aplicación supletoria a la Ley Federal de Transparencia y Acceso a la Información Pública, en términos de su artículo 7; todo acto administrativo debe cumplir con los principios de congruencia y exhaustividad. Para el efectivo ejercicio del derecho de acceso a la información, </w:t>
      </w:r>
      <w:r w:rsidRPr="00D621C2">
        <w:rPr>
          <w:rFonts w:ascii="Palatino Linotype" w:hAnsi="Palatino Linotype" w:cs="Arial"/>
          <w:b/>
          <w:bCs/>
          <w:i/>
          <w:sz w:val="22"/>
        </w:rPr>
        <w:t>la congruencia implica que exista concordancia entre el requerimiento formulado por el particular y la respuesta proporcionada por el sujeto obligado;</w:t>
      </w:r>
      <w:r w:rsidRPr="006807DD">
        <w:rPr>
          <w:rFonts w:ascii="Palatino Linotype" w:hAnsi="Palatino Linotype" w:cs="Arial"/>
          <w:bCs/>
          <w:i/>
          <w:sz w:val="22"/>
        </w:rPr>
        <w:t xml:space="preserve"> mientras que </w:t>
      </w:r>
      <w:r w:rsidRPr="00D621C2">
        <w:rPr>
          <w:rFonts w:ascii="Palatino Linotype" w:hAnsi="Palatino Linotype" w:cs="Arial"/>
          <w:b/>
          <w:bCs/>
          <w:i/>
          <w:sz w:val="22"/>
        </w:rPr>
        <w:t xml:space="preserve">la exhaustividad significa que dicha respuesta se refiera expresamente a cada uno de los puntos solicitados. </w:t>
      </w:r>
      <w:r w:rsidRPr="006807DD">
        <w:rPr>
          <w:rFonts w:ascii="Palatino Linotype" w:hAnsi="Palatino Linotype" w:cs="Arial"/>
          <w:bCs/>
          <w:i/>
          <w:sz w:val="22"/>
        </w:rPr>
        <w:t xml:space="preserve">Por lo anterior, los sujetos obligados cumplirán con los principios de congruencia y exhaustividad, </w:t>
      </w:r>
      <w:r w:rsidRPr="00D621C2">
        <w:rPr>
          <w:rFonts w:ascii="Palatino Linotype" w:hAnsi="Palatino Linotype" w:cs="Arial"/>
          <w:b/>
          <w:bCs/>
          <w:i/>
          <w:sz w:val="22"/>
        </w:rPr>
        <w:t>cuando las respuestas que emitan guarden una relación lógica con lo solicitado y atiendan de manera puntual y expresa, cada uno de los contenidos de información.</w:t>
      </w:r>
    </w:p>
    <w:p w:rsidR="00275C48" w:rsidRDefault="00275C48" w:rsidP="00275C48">
      <w:pPr>
        <w:ind w:left="851" w:right="902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Cs/>
          <w:i/>
          <w:sz w:val="22"/>
        </w:rPr>
        <w:t xml:space="preserve">Resoluciones: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0003/16. Comisión Nacional de las Zonas Áridas. 29 de junio de 2016. Por unanimidad. Comisionado Ponente Oscar Mauricio Guerra Ford.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0100/16. Sindicato Nacional de Trabajadores de la Educación. 13 de julio de 2016. Por unanimidad. Comisionada Ponente. Areli Cano Guadiana.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1419/16. Secretaría de Educación Pública. 14 de septiembre de 2016. Por unanimidad. Comisionado Ponente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Rosendoevgueni</w:t>
      </w:r>
      <w:proofErr w:type="spellEnd"/>
      <w:r w:rsidRPr="006807DD">
        <w:rPr>
          <w:rFonts w:ascii="Palatino Linotype" w:hAnsi="Palatino Linotype" w:cs="Arial"/>
          <w:bCs/>
          <w:i/>
          <w:sz w:val="22"/>
        </w:rPr>
        <w:t xml:space="preserve"> Monterrey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Chepov</w:t>
      </w:r>
      <w:proofErr w:type="spellEnd"/>
      <w:r w:rsidRPr="007D2ED5">
        <w:rPr>
          <w:rFonts w:ascii="Palatino Linotype" w:hAnsi="Palatino Linotype" w:cs="Arial"/>
          <w:b/>
          <w:bCs/>
          <w:i/>
          <w:sz w:val="22"/>
        </w:rPr>
        <w:t>.”</w:t>
      </w:r>
    </w:p>
    <w:p w:rsidR="00387CA6" w:rsidRPr="00661054" w:rsidRDefault="00387CA6" w:rsidP="00387CA6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En ese contexto, la que suscri</w:t>
      </w:r>
      <w:r w:rsidR="00645C66">
        <w:rPr>
          <w:rFonts w:ascii="Palatino Linotype" w:hAnsi="Palatino Linotype"/>
        </w:rPr>
        <w:t xml:space="preserve">ta </w:t>
      </w:r>
      <w:r>
        <w:rPr>
          <w:rFonts w:ascii="Palatino Linotype" w:hAnsi="Palatino Linotype"/>
        </w:rPr>
        <w:t xml:space="preserve">emite </w:t>
      </w:r>
      <w:r w:rsidRPr="00C94710">
        <w:rPr>
          <w:rFonts w:ascii="Palatino Linotype" w:hAnsi="Palatino Linotype"/>
          <w:b/>
        </w:rPr>
        <w:t>VOTO PARTICULAR</w:t>
      </w:r>
      <w:r>
        <w:rPr>
          <w:rFonts w:ascii="Palatino Linotype" w:hAnsi="Palatino Linotype"/>
        </w:rPr>
        <w:t xml:space="preserve"> pues, se insiste en que lo procedente era </w:t>
      </w:r>
      <w:r w:rsidR="00645C66" w:rsidRPr="00645C66">
        <w:rPr>
          <w:rFonts w:ascii="Palatino Linotype" w:hAnsi="Palatino Linotype"/>
          <w:b/>
        </w:rPr>
        <w:t>MODIFICAR</w:t>
      </w:r>
      <w:r w:rsidR="00645C66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la respuesta del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y ordenarle </w:t>
      </w:r>
      <w:r w:rsidR="00645C66">
        <w:rPr>
          <w:rFonts w:ascii="Palatino Linotype" w:hAnsi="Palatino Linotype"/>
        </w:rPr>
        <w:t>la entrega de los convenios considerados faltantes, es decir de</w:t>
      </w:r>
      <w:r w:rsidR="00275C48">
        <w:rPr>
          <w:rFonts w:ascii="Palatino Linotype" w:hAnsi="Palatino Linotype"/>
        </w:rPr>
        <w:t xml:space="preserve">l </w:t>
      </w:r>
      <w:r w:rsidR="00645C66">
        <w:rPr>
          <w:rFonts w:ascii="Palatino Linotype" w:hAnsi="Palatino Linotype"/>
        </w:rPr>
        <w:t xml:space="preserve">2007 al quince de mayo de 2018, que hubiera celebrado dicha Universidad, </w:t>
      </w:r>
      <w:r>
        <w:rPr>
          <w:rFonts w:ascii="Palatino Linotype" w:hAnsi="Palatino Linotype"/>
        </w:rPr>
        <w:t xml:space="preserve">lo anterior, de conformidad con el </w:t>
      </w:r>
      <w:r>
        <w:rPr>
          <w:rFonts w:ascii="Palatino Linotype" w:hAnsi="Palatino Linotype"/>
        </w:rPr>
        <w:lastRenderedPageBreak/>
        <w:t>artículo 9 fracción I de la Ley de Transparencia y Acceso a la Información Pública del</w:t>
      </w:r>
      <w:r w:rsidR="00275C48">
        <w:rPr>
          <w:rFonts w:ascii="Palatino Linotype" w:hAnsi="Palatino Linotype"/>
        </w:rPr>
        <w:t xml:space="preserve"> Estado de México y Municipios</w:t>
      </w:r>
      <w:r w:rsidR="00275C48">
        <w:rPr>
          <w:rStyle w:val="Refdenotaalpie"/>
          <w:rFonts w:ascii="Palatino Linotype" w:hAnsi="Palatino Linotype"/>
        </w:rPr>
        <w:footnoteReference w:id="2"/>
      </w:r>
      <w:r w:rsidR="00275C48">
        <w:rPr>
          <w:rFonts w:ascii="Palatino Linotype" w:hAnsi="Palatino Linotype"/>
        </w:rPr>
        <w:t xml:space="preserve"> y en concordancia con los principios de congruencia y exhaustividad.</w:t>
      </w:r>
    </w:p>
    <w:p w:rsidR="00275C48" w:rsidRDefault="00275C48" w:rsidP="00387CA6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b/>
        </w:rPr>
      </w:pPr>
    </w:p>
    <w:p w:rsidR="00275C48" w:rsidRDefault="00275C48" w:rsidP="00387CA6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b/>
        </w:rPr>
      </w:pPr>
    </w:p>
    <w:p w:rsidR="00275C48" w:rsidRDefault="00275C48" w:rsidP="00387CA6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b/>
        </w:rPr>
      </w:pPr>
    </w:p>
    <w:p w:rsidR="00275C48" w:rsidRDefault="00275C48" w:rsidP="00387CA6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b/>
        </w:rPr>
      </w:pPr>
    </w:p>
    <w:p w:rsidR="005572B1" w:rsidRDefault="005572B1" w:rsidP="00387CA6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b/>
        </w:rPr>
      </w:pPr>
    </w:p>
    <w:tbl>
      <w:tblPr>
        <w:tblW w:w="3012" w:type="dxa"/>
        <w:jc w:val="center"/>
        <w:tblLayout w:type="fixed"/>
        <w:tblLook w:val="04A0" w:firstRow="1" w:lastRow="0" w:firstColumn="1" w:lastColumn="0" w:noHBand="0" w:noVBand="1"/>
      </w:tblPr>
      <w:tblGrid>
        <w:gridCol w:w="3012"/>
      </w:tblGrid>
      <w:tr w:rsidR="00387CA6" w:rsidRPr="001B6F4B" w:rsidTr="00385621">
        <w:trPr>
          <w:trHeight w:val="590"/>
          <w:jc w:val="center"/>
        </w:trPr>
        <w:tc>
          <w:tcPr>
            <w:tcW w:w="3012" w:type="dxa"/>
          </w:tcPr>
          <w:p w:rsidR="00387CA6" w:rsidRDefault="00387CA6" w:rsidP="00385621">
            <w:pPr>
              <w:jc w:val="center"/>
              <w:rPr>
                <w:rFonts w:ascii="Palatino Linotype" w:hAnsi="Palatino Linotype" w:cs="Arial"/>
                <w:b/>
              </w:rPr>
            </w:pPr>
            <w:r w:rsidRPr="0061470D">
              <w:rPr>
                <w:rFonts w:ascii="Palatino Linotype" w:hAnsi="Palatino Linotype" w:cs="Arial"/>
                <w:b/>
              </w:rPr>
              <w:t>EVA ABAID YAPUR</w:t>
            </w:r>
          </w:p>
          <w:p w:rsidR="00387CA6" w:rsidRPr="006546BA" w:rsidRDefault="00387CA6" w:rsidP="005572B1">
            <w:pPr>
              <w:jc w:val="center"/>
              <w:rPr>
                <w:rFonts w:ascii="Palatino Linotype" w:hAnsi="Palatino Linotype" w:cs="Arial"/>
                <w:b/>
              </w:rPr>
            </w:pPr>
            <w:r w:rsidRPr="0061470D">
              <w:rPr>
                <w:rFonts w:ascii="Palatino Linotype" w:hAnsi="Palatino Linotype" w:cs="Arial"/>
                <w:b/>
              </w:rPr>
              <w:t>COMISIONADA</w:t>
            </w:r>
          </w:p>
        </w:tc>
      </w:tr>
    </w:tbl>
    <w:p w:rsidR="00387CA6" w:rsidRDefault="00387CA6" w:rsidP="00387CA6">
      <w:pPr>
        <w:jc w:val="both"/>
        <w:rPr>
          <w:rFonts w:ascii="Palatino Linotype" w:eastAsia="Calibri" w:hAnsi="Palatino Linotype" w:cs="Arial"/>
          <w:color w:val="000000" w:themeColor="text1"/>
          <w:sz w:val="18"/>
          <w:szCs w:val="18"/>
        </w:rPr>
      </w:pPr>
    </w:p>
    <w:p w:rsidR="00275C48" w:rsidRDefault="00275C48" w:rsidP="00387CA6">
      <w:pPr>
        <w:jc w:val="both"/>
        <w:rPr>
          <w:rFonts w:ascii="Palatino Linotype" w:eastAsia="Calibri" w:hAnsi="Palatino Linotype" w:cs="Arial"/>
          <w:color w:val="000000" w:themeColor="text1"/>
          <w:sz w:val="18"/>
          <w:szCs w:val="18"/>
        </w:rPr>
      </w:pPr>
    </w:p>
    <w:p w:rsidR="005572B1" w:rsidRDefault="005572B1" w:rsidP="00387CA6">
      <w:pPr>
        <w:jc w:val="both"/>
        <w:rPr>
          <w:rFonts w:ascii="Palatino Linotype" w:eastAsia="Calibri" w:hAnsi="Palatino Linotype" w:cs="Arial"/>
          <w:color w:val="000000" w:themeColor="text1"/>
          <w:sz w:val="18"/>
          <w:szCs w:val="18"/>
        </w:rPr>
      </w:pPr>
    </w:p>
    <w:p w:rsidR="005572B1" w:rsidRDefault="005572B1" w:rsidP="00387CA6">
      <w:pPr>
        <w:jc w:val="both"/>
        <w:rPr>
          <w:rFonts w:ascii="Palatino Linotype" w:eastAsia="Calibri" w:hAnsi="Palatino Linotype" w:cs="Arial"/>
          <w:color w:val="000000" w:themeColor="text1"/>
          <w:sz w:val="18"/>
          <w:szCs w:val="18"/>
        </w:rPr>
      </w:pPr>
    </w:p>
    <w:p w:rsidR="005572B1" w:rsidRDefault="005572B1" w:rsidP="00387CA6">
      <w:pPr>
        <w:jc w:val="both"/>
        <w:rPr>
          <w:rFonts w:ascii="Palatino Linotype" w:eastAsia="Calibri" w:hAnsi="Palatino Linotype" w:cs="Arial"/>
          <w:color w:val="000000" w:themeColor="text1"/>
          <w:sz w:val="18"/>
          <w:szCs w:val="18"/>
        </w:rPr>
      </w:pPr>
    </w:p>
    <w:p w:rsidR="005572B1" w:rsidRDefault="005572B1" w:rsidP="00387CA6">
      <w:pPr>
        <w:jc w:val="both"/>
        <w:rPr>
          <w:rFonts w:ascii="Palatino Linotype" w:eastAsia="Calibri" w:hAnsi="Palatino Linotype" w:cs="Arial"/>
          <w:color w:val="000000" w:themeColor="text1"/>
          <w:sz w:val="18"/>
          <w:szCs w:val="18"/>
        </w:rPr>
      </w:pPr>
    </w:p>
    <w:p w:rsidR="00387CA6" w:rsidRPr="005572B1" w:rsidRDefault="00387CA6" w:rsidP="00387CA6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18"/>
        </w:rPr>
      </w:pPr>
      <w:r w:rsidRPr="005572B1">
        <w:rPr>
          <w:rFonts w:ascii="Palatino Linotype" w:eastAsia="Calibri" w:hAnsi="Palatino Linotype" w:cs="Arial"/>
          <w:color w:val="000000" w:themeColor="text1"/>
          <w:sz w:val="20"/>
          <w:szCs w:val="18"/>
        </w:rPr>
        <w:t xml:space="preserve">Esta hoja corresponde al voto particular emitido en </w:t>
      </w:r>
      <w:r w:rsidR="00645C66" w:rsidRPr="005572B1">
        <w:rPr>
          <w:rFonts w:ascii="Palatino Linotype" w:eastAsia="Calibri" w:hAnsi="Palatino Linotype" w:cs="Arial"/>
          <w:color w:val="000000" w:themeColor="text1"/>
          <w:sz w:val="20"/>
          <w:szCs w:val="18"/>
        </w:rPr>
        <w:t>la resolución de los</w:t>
      </w:r>
      <w:r w:rsidRPr="005572B1">
        <w:rPr>
          <w:rFonts w:ascii="Palatino Linotype" w:eastAsia="Calibri" w:hAnsi="Palatino Linotype" w:cs="Arial"/>
          <w:color w:val="000000" w:themeColor="text1"/>
          <w:sz w:val="20"/>
          <w:szCs w:val="18"/>
        </w:rPr>
        <w:t xml:space="preserve"> recurso</w:t>
      </w:r>
      <w:r w:rsidR="00645C66" w:rsidRPr="005572B1">
        <w:rPr>
          <w:rFonts w:ascii="Palatino Linotype" w:eastAsia="Calibri" w:hAnsi="Palatino Linotype" w:cs="Arial"/>
          <w:color w:val="000000" w:themeColor="text1"/>
          <w:sz w:val="20"/>
          <w:szCs w:val="18"/>
        </w:rPr>
        <w:t>s</w:t>
      </w:r>
      <w:r w:rsidRPr="005572B1">
        <w:rPr>
          <w:rFonts w:ascii="Palatino Linotype" w:eastAsia="Calibri" w:hAnsi="Palatino Linotype" w:cs="Arial"/>
          <w:color w:val="000000" w:themeColor="text1"/>
          <w:sz w:val="20"/>
          <w:szCs w:val="18"/>
        </w:rPr>
        <w:t xml:space="preserve"> de revisión </w:t>
      </w:r>
      <w:r w:rsidR="00645C66" w:rsidRPr="005572B1">
        <w:rPr>
          <w:rFonts w:ascii="Palatino Linotype" w:eastAsia="Calibri" w:hAnsi="Palatino Linotype" w:cs="Arial"/>
          <w:color w:val="000000" w:themeColor="text1"/>
          <w:sz w:val="20"/>
          <w:szCs w:val="18"/>
        </w:rPr>
        <w:t>acumulados 04238/INFOEM/IP/RR/2018, 04239/INFOEM/IP/RR/2018, 04240/INFOEM/IP/RR/2018, 04241/INFOEM/IP/RR/2018, 04242/INFOEM/IP/RR/2018, 04243/INFOEM/IP/RR/2018, 04244/INFOEM/IP/RR/20</w:t>
      </w:r>
      <w:bookmarkStart w:id="0" w:name="_GoBack"/>
      <w:bookmarkEnd w:id="0"/>
      <w:r w:rsidR="00645C66" w:rsidRPr="005572B1">
        <w:rPr>
          <w:rFonts w:ascii="Palatino Linotype" w:eastAsia="Calibri" w:hAnsi="Palatino Linotype" w:cs="Arial"/>
          <w:color w:val="000000" w:themeColor="text1"/>
          <w:sz w:val="20"/>
          <w:szCs w:val="18"/>
        </w:rPr>
        <w:t>18, 04245/INFOEM/IP/RR/2018, 04246/INFOEM/IP/RR/2018, 04247/INFOEM/IP/RR/2018, 04248/INFOEM/IP/RR/2018 y 04249/INFOEM/IP/RR/2018</w:t>
      </w:r>
      <w:r w:rsidR="005572B1">
        <w:rPr>
          <w:rFonts w:ascii="Palatino Linotype" w:eastAsia="Calibri" w:hAnsi="Palatino Linotype" w:cs="Arial"/>
          <w:color w:val="000000" w:themeColor="text1"/>
          <w:sz w:val="20"/>
          <w:szCs w:val="18"/>
        </w:rPr>
        <w:t>,</w:t>
      </w:r>
      <w:r w:rsidR="00275C48" w:rsidRPr="005572B1">
        <w:rPr>
          <w:rFonts w:ascii="Palatino Linotype" w:eastAsia="Calibri" w:hAnsi="Palatino Linotype" w:cs="Arial"/>
          <w:color w:val="000000" w:themeColor="text1"/>
          <w:sz w:val="20"/>
          <w:szCs w:val="18"/>
        </w:rPr>
        <w:t xml:space="preserve"> aprobada</w:t>
      </w:r>
      <w:r w:rsidRPr="005572B1">
        <w:rPr>
          <w:rFonts w:ascii="Palatino Linotype" w:eastAsia="Calibri" w:hAnsi="Palatino Linotype" w:cs="Arial"/>
          <w:color w:val="000000" w:themeColor="text1"/>
          <w:sz w:val="20"/>
          <w:szCs w:val="18"/>
        </w:rPr>
        <w:t xml:space="preserve"> el </w:t>
      </w:r>
      <w:r w:rsidR="00645C66" w:rsidRPr="005572B1">
        <w:rPr>
          <w:rFonts w:ascii="Palatino Linotype" w:eastAsia="Calibri" w:hAnsi="Palatino Linotype" w:cs="Arial"/>
          <w:color w:val="000000" w:themeColor="text1"/>
          <w:sz w:val="20"/>
          <w:szCs w:val="18"/>
        </w:rPr>
        <w:t xml:space="preserve">veintitrés de enero de </w:t>
      </w:r>
      <w:r w:rsidRPr="005572B1">
        <w:rPr>
          <w:rFonts w:ascii="Palatino Linotype" w:eastAsia="Calibri" w:hAnsi="Palatino Linotype" w:cs="Arial"/>
          <w:color w:val="000000" w:themeColor="text1"/>
          <w:sz w:val="20"/>
          <w:szCs w:val="18"/>
        </w:rPr>
        <w:t>dos mil dieci</w:t>
      </w:r>
      <w:r w:rsidR="00645C66" w:rsidRPr="005572B1">
        <w:rPr>
          <w:rFonts w:ascii="Palatino Linotype" w:eastAsia="Calibri" w:hAnsi="Palatino Linotype" w:cs="Arial"/>
          <w:color w:val="000000" w:themeColor="text1"/>
          <w:sz w:val="20"/>
          <w:szCs w:val="18"/>
        </w:rPr>
        <w:t>nueve</w:t>
      </w:r>
      <w:r w:rsidRPr="005572B1">
        <w:rPr>
          <w:rFonts w:ascii="Palatino Linotype" w:eastAsia="Calibri" w:hAnsi="Palatino Linotype" w:cs="Arial"/>
          <w:color w:val="000000" w:themeColor="text1"/>
          <w:sz w:val="20"/>
          <w:szCs w:val="18"/>
        </w:rPr>
        <w:t xml:space="preserve">. </w:t>
      </w:r>
    </w:p>
    <w:p w:rsidR="00275C48" w:rsidRPr="005572B1" w:rsidRDefault="00275C48" w:rsidP="00275C48">
      <w:pPr>
        <w:jc w:val="both"/>
        <w:rPr>
          <w:rFonts w:ascii="Palatino Linotype" w:eastAsia="Calibri" w:hAnsi="Palatino Linotype" w:cs="Arial"/>
          <w:color w:val="000000" w:themeColor="text1"/>
          <w:sz w:val="8"/>
          <w:szCs w:val="8"/>
        </w:rPr>
      </w:pPr>
    </w:p>
    <w:p w:rsidR="00C23B43" w:rsidRPr="005572B1" w:rsidRDefault="00387CA6" w:rsidP="00275C48">
      <w:pPr>
        <w:jc w:val="both"/>
        <w:rPr>
          <w:sz w:val="28"/>
        </w:rPr>
      </w:pPr>
      <w:r w:rsidRPr="005572B1">
        <w:rPr>
          <w:rFonts w:ascii="Palatino Linotype" w:eastAsia="Calibri" w:hAnsi="Palatino Linotype" w:cs="Arial"/>
          <w:color w:val="000000" w:themeColor="text1"/>
          <w:sz w:val="20"/>
          <w:szCs w:val="18"/>
        </w:rPr>
        <w:t>YSM/AMV</w:t>
      </w:r>
    </w:p>
    <w:sectPr w:rsidR="00C23B43" w:rsidRPr="005572B1" w:rsidSect="004C7E3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93A" w:rsidRDefault="0080293A" w:rsidP="00387CA6">
      <w:r>
        <w:separator/>
      </w:r>
    </w:p>
  </w:endnote>
  <w:endnote w:type="continuationSeparator" w:id="0">
    <w:p w:rsidR="0080293A" w:rsidRDefault="0080293A" w:rsidP="00387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2FB" w:rsidRDefault="0080293A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3056D9" w:rsidRDefault="0080293A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3056D9" w:rsidRDefault="0080293A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455CB3" w:rsidRDefault="0080293A" w:rsidP="000E2B1A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:rsidR="003056D9" w:rsidRPr="00F12350" w:rsidRDefault="00DE4780" w:rsidP="003056D9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5572B1">
      <w:rPr>
        <w:rFonts w:ascii="Palatino Linotype" w:hAnsi="Palatino Linotype" w:cs="Arial"/>
        <w:b/>
        <w:bCs/>
        <w:noProof/>
        <w:sz w:val="20"/>
        <w:szCs w:val="20"/>
      </w:rPr>
      <w:t>5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5572B1">
      <w:rPr>
        <w:rFonts w:ascii="Palatino Linotype" w:hAnsi="Palatino Linotype" w:cs="Arial"/>
        <w:b/>
        <w:bCs/>
        <w:noProof/>
        <w:sz w:val="20"/>
        <w:szCs w:val="20"/>
      </w:rPr>
      <w:t>6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6F30F8" w:rsidRDefault="0080293A" w:rsidP="006F30F8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93A" w:rsidRDefault="0080293A" w:rsidP="00387CA6">
      <w:r>
        <w:separator/>
      </w:r>
    </w:p>
  </w:footnote>
  <w:footnote w:type="continuationSeparator" w:id="0">
    <w:p w:rsidR="0080293A" w:rsidRDefault="0080293A" w:rsidP="00387CA6">
      <w:r>
        <w:continuationSeparator/>
      </w:r>
    </w:p>
  </w:footnote>
  <w:footnote w:id="1">
    <w:p w:rsidR="00E04011" w:rsidRDefault="00E04011" w:rsidP="00E04011">
      <w:pPr>
        <w:jc w:val="both"/>
        <w:rPr>
          <w:rFonts w:ascii="Palatino Linotype" w:hAnsi="Palatino Linotype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E04011">
        <w:rPr>
          <w:rFonts w:ascii="Palatino Linotype" w:hAnsi="Palatino Linotype"/>
          <w:sz w:val="16"/>
          <w:szCs w:val="16"/>
        </w:rPr>
        <w:t xml:space="preserve">Artículo 12. Quienes generen, recopilen, administren, manejen, procesen, archiven o conserven información pública serán responsables de la misma en los términos de las disposiciones jurídicas aplicables. </w:t>
      </w:r>
    </w:p>
    <w:p w:rsidR="00E04011" w:rsidRPr="00E04011" w:rsidRDefault="00E04011" w:rsidP="00E04011">
      <w:pPr>
        <w:jc w:val="both"/>
        <w:rPr>
          <w:rFonts w:ascii="Palatino Linotype" w:hAnsi="Palatino Linotype"/>
          <w:sz w:val="16"/>
          <w:szCs w:val="16"/>
        </w:rPr>
      </w:pPr>
      <w:r w:rsidRPr="00E04011">
        <w:rPr>
          <w:rFonts w:ascii="Palatino Linotype" w:hAnsi="Palatino Linotype"/>
          <w:sz w:val="16"/>
          <w:szCs w:val="16"/>
        </w:rPr>
        <w:t xml:space="preserve">Los sujetos obligados sólo proporcionarán la información pública que se les requiera y que obre en sus archivos y en el estado en que ésta se encuentre. </w:t>
      </w:r>
      <w:r w:rsidRPr="00645C66">
        <w:rPr>
          <w:rFonts w:ascii="Palatino Linotype" w:hAnsi="Palatino Linotype"/>
          <w:b/>
          <w:sz w:val="16"/>
          <w:szCs w:val="16"/>
        </w:rPr>
        <w:t>La obligación de proporcionar información no comprende el procesamiento de la misma, ni el presentarla conforme al interés del solicitante</w:t>
      </w:r>
      <w:r w:rsidRPr="00E04011">
        <w:rPr>
          <w:rFonts w:ascii="Palatino Linotype" w:hAnsi="Palatino Linotype"/>
          <w:sz w:val="16"/>
          <w:szCs w:val="16"/>
        </w:rPr>
        <w:t>; no estarán obligados a generarla, resumirla, efectuar cálculos o practicar investigaciones.</w:t>
      </w:r>
    </w:p>
    <w:p w:rsidR="00E04011" w:rsidRPr="00E04011" w:rsidRDefault="00E04011" w:rsidP="00E04011">
      <w:pPr>
        <w:jc w:val="both"/>
        <w:rPr>
          <w:rFonts w:ascii="Palatino Linotype" w:hAnsi="Palatino Linotype"/>
          <w:sz w:val="16"/>
          <w:szCs w:val="16"/>
        </w:rPr>
      </w:pPr>
    </w:p>
  </w:footnote>
  <w:footnote w:id="2">
    <w:p w:rsidR="00275C48" w:rsidRPr="00275C48" w:rsidRDefault="00275C48">
      <w:pPr>
        <w:pStyle w:val="Textonotapie"/>
        <w:rPr>
          <w:rFonts w:ascii="Palatino Linotype" w:hAnsi="Palatino Linotype"/>
          <w:sz w:val="16"/>
          <w:szCs w:val="16"/>
        </w:rPr>
      </w:pPr>
      <w:r>
        <w:rPr>
          <w:rStyle w:val="Refdenotaalpie"/>
        </w:rPr>
        <w:footnoteRef/>
      </w:r>
      <w:r>
        <w:t xml:space="preserve"> “</w:t>
      </w:r>
      <w:r w:rsidRPr="00275C48">
        <w:rPr>
          <w:rFonts w:ascii="Palatino Linotype" w:hAnsi="Palatino Linotype"/>
          <w:b/>
          <w:sz w:val="16"/>
          <w:szCs w:val="16"/>
        </w:rPr>
        <w:t>Artículo 9.</w:t>
      </w:r>
      <w:r w:rsidRPr="00275C48">
        <w:rPr>
          <w:rFonts w:ascii="Palatino Linotype" w:hAnsi="Palatino Linotype"/>
          <w:sz w:val="16"/>
          <w:szCs w:val="16"/>
        </w:rPr>
        <w:t xml:space="preserve"> El Instituto deberá regir su funcionamiento de acuerdo a los siguientes principios:</w:t>
      </w:r>
    </w:p>
    <w:p w:rsidR="00275C48" w:rsidRDefault="00275C48">
      <w:pPr>
        <w:pStyle w:val="Textonotapie"/>
        <w:rPr>
          <w:rFonts w:ascii="Palatino Linotype" w:hAnsi="Palatino Linotype"/>
          <w:sz w:val="16"/>
          <w:szCs w:val="16"/>
        </w:rPr>
      </w:pPr>
      <w:r w:rsidRPr="00275C48">
        <w:rPr>
          <w:rFonts w:ascii="Palatino Linotype" w:hAnsi="Palatino Linotype"/>
          <w:b/>
          <w:sz w:val="16"/>
          <w:szCs w:val="16"/>
        </w:rPr>
        <w:t>I. Certeza:</w:t>
      </w:r>
      <w:r w:rsidRPr="00275C48">
        <w:rPr>
          <w:rFonts w:ascii="Palatino Linotype" w:hAnsi="Palatino Linotype"/>
          <w:sz w:val="16"/>
          <w:szCs w:val="16"/>
        </w:rPr>
        <w:t xml:space="preserve"> Principio que otorga seguridad y certidumbre jurídica a los particulares, en virtud de que permite conocer si las acciones del Instituto son apegadas a derecho y garantiza que los procedimientos sean completamente verificables, fidedignos y confiables;</w:t>
      </w:r>
    </w:p>
    <w:p w:rsidR="00275C48" w:rsidRPr="00275C48" w:rsidRDefault="00275C48">
      <w:pPr>
        <w:pStyle w:val="Textonotapie"/>
        <w:rPr>
          <w:rFonts w:ascii="Palatino Linotype" w:hAnsi="Palatino Linotype"/>
          <w:sz w:val="16"/>
          <w:szCs w:val="16"/>
        </w:rPr>
      </w:pPr>
      <w:r>
        <w:rPr>
          <w:rFonts w:ascii="Palatino Linotype" w:hAnsi="Palatino Linotype"/>
          <w:sz w:val="16"/>
          <w:szCs w:val="16"/>
        </w:rPr>
        <w:t>…”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09A" w:rsidRDefault="0080293A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558856" o:spid="_x0000_s2049" type="#_x0000_t136" style="position:absolute;margin-left:0;margin-top:0;width:648.8pt;height:54.05pt;rotation:315;z-index:-251656192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 CONCURREN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647" w:rsidRDefault="00DE4780" w:rsidP="0034309A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0F4B7431" wp14:editId="5CB54587">
          <wp:simplePos x="0" y="0"/>
          <wp:positionH relativeFrom="column">
            <wp:posOffset>-727075</wp:posOffset>
          </wp:positionH>
          <wp:positionV relativeFrom="paragraph">
            <wp:posOffset>-433070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309A" w:rsidRDefault="0080293A" w:rsidP="0034309A">
    <w:pPr>
      <w:pStyle w:val="Encabezado"/>
      <w:tabs>
        <w:tab w:val="clear" w:pos="4252"/>
        <w:tab w:val="clear" w:pos="8504"/>
        <w:tab w:val="left" w:pos="2326"/>
      </w:tabs>
      <w:jc w:val="right"/>
    </w:pPr>
  </w:p>
  <w:tbl>
    <w:tblPr>
      <w:tblW w:w="5954" w:type="dxa"/>
      <w:jc w:val="right"/>
      <w:tblLayout w:type="fixed"/>
      <w:tblLook w:val="04A0" w:firstRow="1" w:lastRow="0" w:firstColumn="1" w:lastColumn="0" w:noHBand="0" w:noVBand="1"/>
    </w:tblPr>
    <w:tblGrid>
      <w:gridCol w:w="5954"/>
    </w:tblGrid>
    <w:tr w:rsidR="00801C8F" w:rsidRPr="008F2CCC" w:rsidTr="00387CA6">
      <w:trPr>
        <w:jc w:val="right"/>
      </w:trPr>
      <w:tc>
        <w:tcPr>
          <w:tcW w:w="5954" w:type="dxa"/>
          <w:shd w:val="clear" w:color="auto" w:fill="auto"/>
        </w:tcPr>
        <w:p w:rsidR="00801C8F" w:rsidRPr="00801C8F" w:rsidRDefault="00DE4780" w:rsidP="002A36D9">
          <w:pPr>
            <w:pStyle w:val="Encabezado"/>
            <w:tabs>
              <w:tab w:val="clear" w:pos="4252"/>
              <w:tab w:val="clear" w:pos="8504"/>
              <w:tab w:val="left" w:pos="2326"/>
            </w:tabs>
            <w:jc w:val="right"/>
            <w:rPr>
              <w:rFonts w:ascii="Palatino Linotype" w:hAnsi="Palatino Linotype" w:cs="Arial"/>
              <w:sz w:val="20"/>
              <w:szCs w:val="20"/>
            </w:rPr>
          </w:pPr>
          <w:r>
            <w:rPr>
              <w:rFonts w:ascii="Palatino Linotype" w:hAnsi="Palatino Linotype" w:cs="Arial"/>
              <w:sz w:val="20"/>
              <w:szCs w:val="20"/>
            </w:rPr>
            <w:t>VOTO PARTICULAR</w:t>
          </w:r>
        </w:p>
      </w:tc>
    </w:tr>
    <w:tr w:rsidR="00801C8F" w:rsidRPr="008F2CCC" w:rsidTr="00387CA6">
      <w:trPr>
        <w:jc w:val="right"/>
      </w:trPr>
      <w:tc>
        <w:tcPr>
          <w:tcW w:w="5954" w:type="dxa"/>
          <w:shd w:val="clear" w:color="auto" w:fill="auto"/>
        </w:tcPr>
        <w:p w:rsidR="00387CA6" w:rsidRDefault="00DE4780" w:rsidP="00387CA6">
          <w:pPr>
            <w:pStyle w:val="Encabezado"/>
            <w:tabs>
              <w:tab w:val="clear" w:pos="4252"/>
              <w:tab w:val="clear" w:pos="8504"/>
              <w:tab w:val="left" w:pos="2326"/>
            </w:tabs>
            <w:jc w:val="right"/>
            <w:rPr>
              <w:rFonts w:ascii="Palatino Linotype" w:hAnsi="Palatino Linotype" w:cs="Arial"/>
              <w:sz w:val="20"/>
              <w:szCs w:val="20"/>
            </w:rPr>
          </w:pPr>
          <w:r w:rsidRPr="00801C8F">
            <w:rPr>
              <w:rFonts w:ascii="Palatino Linotype" w:hAnsi="Palatino Linotype" w:cs="Arial"/>
              <w:sz w:val="20"/>
              <w:szCs w:val="20"/>
            </w:rPr>
            <w:t>RECURSO</w:t>
          </w:r>
          <w:r w:rsidR="00387CA6">
            <w:rPr>
              <w:rFonts w:ascii="Palatino Linotype" w:hAnsi="Palatino Linotype" w:cs="Arial"/>
              <w:sz w:val="20"/>
              <w:szCs w:val="20"/>
            </w:rPr>
            <w:t xml:space="preserve">S DE REVISIÓN </w:t>
          </w:r>
        </w:p>
        <w:p w:rsidR="00801C8F" w:rsidRPr="00801C8F" w:rsidRDefault="00387CA6" w:rsidP="00387CA6">
          <w:pPr>
            <w:pStyle w:val="Encabezado"/>
            <w:tabs>
              <w:tab w:val="clear" w:pos="4252"/>
              <w:tab w:val="clear" w:pos="8504"/>
              <w:tab w:val="left" w:pos="2326"/>
            </w:tabs>
            <w:ind w:right="-108"/>
            <w:jc w:val="right"/>
            <w:rPr>
              <w:rFonts w:ascii="Palatino Linotype" w:hAnsi="Palatino Linotype" w:cs="Arial"/>
              <w:sz w:val="20"/>
              <w:szCs w:val="20"/>
            </w:rPr>
          </w:pPr>
          <w:r>
            <w:rPr>
              <w:rFonts w:ascii="Palatino Linotype" w:hAnsi="Palatino Linotype" w:cs="Arial"/>
              <w:sz w:val="20"/>
              <w:szCs w:val="20"/>
            </w:rPr>
            <w:t>04238</w:t>
          </w:r>
          <w:r w:rsidR="00DE4780" w:rsidRPr="00801C8F">
            <w:rPr>
              <w:rFonts w:ascii="Palatino Linotype" w:hAnsi="Palatino Linotype" w:cs="Arial"/>
              <w:sz w:val="20"/>
              <w:szCs w:val="20"/>
            </w:rPr>
            <w:t>/INFOEM/IP/RR/201</w:t>
          </w:r>
          <w:r>
            <w:rPr>
              <w:rFonts w:ascii="Palatino Linotype" w:hAnsi="Palatino Linotype" w:cs="Arial"/>
              <w:sz w:val="20"/>
              <w:szCs w:val="20"/>
            </w:rPr>
            <w:t>8 Y ACUMULADOS</w:t>
          </w:r>
        </w:p>
      </w:tc>
    </w:tr>
  </w:tbl>
  <w:p w:rsidR="0085748A" w:rsidRDefault="0080293A" w:rsidP="0034309A">
    <w:pPr>
      <w:pStyle w:val="Encabezado"/>
      <w:tabs>
        <w:tab w:val="clear" w:pos="4252"/>
        <w:tab w:val="clear" w:pos="8504"/>
        <w:tab w:val="left" w:pos="2326"/>
      </w:tabs>
      <w:jc w:val="right"/>
      <w:rPr>
        <w:sz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558857" o:spid="_x0000_s2050" type="#_x0000_t136" style="position:absolute;left:0;text-align:left;margin-left:0;margin-top:0;width:666.3pt;height:89.5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 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09A" w:rsidRDefault="0080293A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558855" o:spid="_x0000_s2051" type="#_x0000_t136" style="position:absolute;margin-left:0;margin-top:0;width:648.8pt;height:54.05pt;rotation:315;z-index:-25165414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 CONCURREN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16172"/>
    <w:multiLevelType w:val="hybridMultilevel"/>
    <w:tmpl w:val="82CAE9BE"/>
    <w:lvl w:ilvl="0" w:tplc="CDEC5E8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17490"/>
    <w:multiLevelType w:val="hybridMultilevel"/>
    <w:tmpl w:val="420C27A8"/>
    <w:lvl w:ilvl="0" w:tplc="92BE0B36">
      <w:start w:val="1"/>
      <w:numFmt w:val="decimal"/>
      <w:lvlText w:val="%1."/>
      <w:lvlJc w:val="left"/>
      <w:pPr>
        <w:ind w:left="7590" w:hanging="360"/>
      </w:pPr>
      <w:rPr>
        <w:rFonts w:ascii="Palatino Linotype" w:hAnsi="Palatino Linotype" w:hint="default"/>
        <w:b/>
        <w:i w:val="0"/>
        <w:color w:val="auto"/>
        <w:sz w:val="24"/>
      </w:rPr>
    </w:lvl>
    <w:lvl w:ilvl="1" w:tplc="29E0ED44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A2006E"/>
    <w:multiLevelType w:val="hybridMultilevel"/>
    <w:tmpl w:val="1C72BD4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191301"/>
    <w:multiLevelType w:val="hybridMultilevel"/>
    <w:tmpl w:val="72C2E0BC"/>
    <w:lvl w:ilvl="0" w:tplc="C0529F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CA6"/>
    <w:rsid w:val="0018401F"/>
    <w:rsid w:val="00241C22"/>
    <w:rsid w:val="00275C48"/>
    <w:rsid w:val="00387CA6"/>
    <w:rsid w:val="00387CBF"/>
    <w:rsid w:val="003B12AC"/>
    <w:rsid w:val="005572B1"/>
    <w:rsid w:val="00645C66"/>
    <w:rsid w:val="0080293A"/>
    <w:rsid w:val="00C23B43"/>
    <w:rsid w:val="00C9714C"/>
    <w:rsid w:val="00DE4780"/>
    <w:rsid w:val="00E0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E28CF6C7-F94C-47F1-B952-DA1AB41FE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7C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7CA6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87CA6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387CA6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87CA6"/>
    <w:rPr>
      <w:rFonts w:eastAsiaTheme="minorEastAsia"/>
      <w:sz w:val="24"/>
      <w:szCs w:val="24"/>
      <w:lang w:val="es-ES_tradnl" w:eastAsia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387CA6"/>
    <w:pPr>
      <w:ind w:left="720"/>
      <w:contextualSpacing/>
    </w:p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387CA6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387CA6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E0401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4011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E04011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12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12AC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16E50-C17C-4B50-8082-35E28EF47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1226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3</cp:revision>
  <cp:lastPrinted>2019-01-28T18:48:00Z</cp:lastPrinted>
  <dcterms:created xsi:type="dcterms:W3CDTF">2019-01-25T03:12:00Z</dcterms:created>
  <dcterms:modified xsi:type="dcterms:W3CDTF">2019-02-14T20:56:00Z</dcterms:modified>
</cp:coreProperties>
</file>